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55" w:rsidRPr="00CD3E39" w:rsidRDefault="00DD04D2" w:rsidP="00DC132F">
      <w:pPr>
        <w:pStyle w:val="Corpodetexto"/>
        <w:spacing w:after="0"/>
        <w:ind w:firstLine="1418"/>
        <w:rPr>
          <w:rFonts w:cs="Times New Roman"/>
          <w:b/>
        </w:rPr>
      </w:pPr>
      <w:r w:rsidRPr="00CD3E39">
        <w:rPr>
          <w:rFonts w:cs="Times New Roman"/>
          <w:b/>
        </w:rPr>
        <w:t>PROJETO DE LEI COMPLEMENTAR Nº 001/2018.</w:t>
      </w:r>
    </w:p>
    <w:p w:rsidR="00476555" w:rsidRPr="00CD3E39" w:rsidRDefault="00476555" w:rsidP="00DC132F">
      <w:pPr>
        <w:pStyle w:val="Corpodetexto"/>
        <w:spacing w:after="0"/>
        <w:jc w:val="both"/>
        <w:rPr>
          <w:rFonts w:cs="Times New Roman"/>
        </w:rPr>
      </w:pPr>
    </w:p>
    <w:p w:rsidR="00DC132F" w:rsidRPr="00CD3E39" w:rsidRDefault="00DC132F" w:rsidP="00DC132F">
      <w:pPr>
        <w:pStyle w:val="Corpodetexto"/>
        <w:spacing w:after="0"/>
        <w:jc w:val="both"/>
        <w:rPr>
          <w:rFonts w:cs="Times New Roman"/>
        </w:rPr>
      </w:pPr>
    </w:p>
    <w:p w:rsidR="00B4122E" w:rsidRPr="00CD3E39" w:rsidRDefault="00C95A30" w:rsidP="00DC132F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39">
        <w:rPr>
          <w:rFonts w:ascii="Times New Roman" w:hAnsi="Times New Roman" w:cs="Times New Roman"/>
          <w:b/>
          <w:sz w:val="24"/>
          <w:szCs w:val="24"/>
        </w:rPr>
        <w:t>ACRESCENTA O § 4</w:t>
      </w:r>
      <w:r w:rsidR="00DD04D2" w:rsidRPr="00CD3E39">
        <w:rPr>
          <w:rFonts w:ascii="Times New Roman" w:hAnsi="Times New Roman" w:cs="Times New Roman"/>
          <w:b/>
          <w:sz w:val="24"/>
          <w:szCs w:val="24"/>
        </w:rPr>
        <w:t xml:space="preserve">º NO ARTIGO 258 </w:t>
      </w:r>
      <w:r w:rsidR="00DD04D2" w:rsidRPr="00CD3E39">
        <w:rPr>
          <w:rFonts w:ascii="Times New Roman" w:eastAsia="Calibri" w:hAnsi="Times New Roman" w:cs="Times New Roman"/>
          <w:b/>
          <w:sz w:val="24"/>
          <w:szCs w:val="24"/>
        </w:rPr>
        <w:t xml:space="preserve">DA </w:t>
      </w:r>
      <w:r w:rsidR="00B4122E" w:rsidRPr="00CD3E39">
        <w:rPr>
          <w:rFonts w:ascii="Times New Roman" w:eastAsia="Calibri" w:hAnsi="Times New Roman" w:cs="Times New Roman"/>
          <w:b/>
          <w:sz w:val="24"/>
          <w:szCs w:val="24"/>
        </w:rPr>
        <w:t>LEI COMPLEMENTAR Nº 74/2005, DE 13 DE DEZEMBRO DE 2005, QUE INSTITUI O CÓDIGO TRIBUTÁRIO DO MUNICÍPIO DE DONA EMMA, COM AS ALTERAÇÕES POSTERIORES E DÁ OUTRAS PROVIDÊNCIAS</w:t>
      </w:r>
      <w:r w:rsidR="00B4122E" w:rsidRPr="00CD3E39">
        <w:rPr>
          <w:rFonts w:ascii="Times New Roman" w:hAnsi="Times New Roman" w:cs="Times New Roman"/>
          <w:b/>
          <w:sz w:val="24"/>
          <w:szCs w:val="24"/>
        </w:rPr>
        <w:t>.</w:t>
      </w:r>
    </w:p>
    <w:p w:rsidR="00476555" w:rsidRPr="00CD3E39" w:rsidRDefault="00476555" w:rsidP="00DC132F">
      <w:pPr>
        <w:pStyle w:val="Corpodetexto"/>
        <w:spacing w:after="0"/>
        <w:ind w:left="4962"/>
        <w:jc w:val="both"/>
        <w:rPr>
          <w:rFonts w:cs="Times New Roman"/>
        </w:rPr>
      </w:pPr>
      <w:r w:rsidRPr="00CD3E39">
        <w:rPr>
          <w:rFonts w:cs="Times New Roman"/>
        </w:rPr>
        <w:t xml:space="preserve">                                                            </w:t>
      </w:r>
    </w:p>
    <w:p w:rsidR="00DD04D2" w:rsidRPr="00CD3E39" w:rsidRDefault="00DD04D2" w:rsidP="00DC132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132F" w:rsidRPr="00CD3E39" w:rsidRDefault="00DC132F" w:rsidP="00DC132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D89" w:rsidRPr="00CD3E39" w:rsidRDefault="00500D89" w:rsidP="00DC132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39">
        <w:rPr>
          <w:rFonts w:ascii="Times New Roman" w:eastAsia="Calibri" w:hAnsi="Times New Roman" w:cs="Times New Roman"/>
          <w:b/>
          <w:sz w:val="24"/>
          <w:szCs w:val="24"/>
        </w:rPr>
        <w:t xml:space="preserve">NERCI BARP, </w:t>
      </w:r>
      <w:r w:rsidRPr="00CD3E39">
        <w:rPr>
          <w:rFonts w:ascii="Times New Roman" w:eastAsia="Calibri" w:hAnsi="Times New Roman" w:cs="Times New Roman"/>
          <w:sz w:val="24"/>
          <w:szCs w:val="24"/>
        </w:rPr>
        <w:t>Prefeito Municipal de Dona Emma, Estado de Santa Catarina...</w:t>
      </w:r>
    </w:p>
    <w:p w:rsidR="00DD04D2" w:rsidRPr="00CD3E39" w:rsidRDefault="00DD04D2" w:rsidP="00DC132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00D89" w:rsidRPr="00CD3E39" w:rsidRDefault="00500D89" w:rsidP="00DC132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D3E39">
        <w:rPr>
          <w:rFonts w:ascii="Times New Roman" w:hAnsi="Times New Roman" w:cs="Times New Roman"/>
          <w:b/>
          <w:sz w:val="24"/>
          <w:szCs w:val="24"/>
        </w:rPr>
        <w:t>FAÇO</w:t>
      </w:r>
      <w:r w:rsidRPr="00CD3E39">
        <w:rPr>
          <w:rFonts w:ascii="Times New Roman" w:hAnsi="Times New Roman" w:cs="Times New Roman"/>
          <w:sz w:val="24"/>
          <w:szCs w:val="24"/>
        </w:rPr>
        <w:t xml:space="preserve"> saber a todos os habitantes deste Município, que a Câmara Municipal aprovou e eu sanciono a seguinte Lei Complementar:</w:t>
      </w:r>
    </w:p>
    <w:p w:rsidR="00DC132F" w:rsidRPr="00CD3E39" w:rsidRDefault="00DC132F" w:rsidP="00DC132F">
      <w:pPr>
        <w:pStyle w:val="Corpodetexto"/>
        <w:spacing w:after="0"/>
        <w:ind w:firstLine="1418"/>
        <w:jc w:val="both"/>
        <w:rPr>
          <w:rFonts w:cs="Times New Roman"/>
          <w:b/>
        </w:rPr>
      </w:pPr>
    </w:p>
    <w:p w:rsidR="00851119" w:rsidRPr="00CD3E39" w:rsidRDefault="00476555" w:rsidP="00DC132F">
      <w:pPr>
        <w:pStyle w:val="Corpodetexto"/>
        <w:spacing w:after="0"/>
        <w:ind w:firstLine="1418"/>
        <w:jc w:val="both"/>
        <w:rPr>
          <w:rFonts w:cs="Times New Roman"/>
        </w:rPr>
      </w:pPr>
      <w:r w:rsidRPr="00CD3E39">
        <w:rPr>
          <w:rFonts w:cs="Times New Roman"/>
          <w:b/>
        </w:rPr>
        <w:t>Art. 1º</w:t>
      </w:r>
      <w:r w:rsidRPr="00CD3E39">
        <w:rPr>
          <w:rFonts w:cs="Times New Roman"/>
        </w:rPr>
        <w:t xml:space="preserve"> </w:t>
      </w:r>
      <w:r w:rsidR="00851119" w:rsidRPr="00CD3E39">
        <w:rPr>
          <w:rFonts w:cs="Times New Roman"/>
        </w:rPr>
        <w:t xml:space="preserve">Fica acrescentado no </w:t>
      </w:r>
      <w:r w:rsidR="00500D89" w:rsidRPr="00CD3E39">
        <w:rPr>
          <w:rFonts w:cs="Times New Roman"/>
        </w:rPr>
        <w:t xml:space="preserve">artigo 258 da Lei Complementar nº 74/2005 </w:t>
      </w:r>
      <w:r w:rsidR="007F5681" w:rsidRPr="00CD3E39">
        <w:rPr>
          <w:rFonts w:cs="Times New Roman"/>
        </w:rPr>
        <w:t xml:space="preserve">o </w:t>
      </w:r>
      <w:r w:rsidR="00541FAF" w:rsidRPr="00CD3E39">
        <w:rPr>
          <w:rFonts w:cs="Times New Roman"/>
        </w:rPr>
        <w:t>§</w:t>
      </w:r>
      <w:r w:rsidR="007F5681" w:rsidRPr="00CD3E39">
        <w:rPr>
          <w:rFonts w:cs="Times New Roman"/>
        </w:rPr>
        <w:t xml:space="preserve"> </w:t>
      </w:r>
      <w:r w:rsidR="00C95A30" w:rsidRPr="00CD3E39">
        <w:rPr>
          <w:rFonts w:cs="Times New Roman"/>
        </w:rPr>
        <w:t>4</w:t>
      </w:r>
      <w:r w:rsidR="007F5681" w:rsidRPr="00CD3E39">
        <w:rPr>
          <w:rFonts w:cs="Times New Roman"/>
        </w:rPr>
        <w:t>º</w:t>
      </w:r>
      <w:r w:rsidR="00541FAF" w:rsidRPr="00CD3E39">
        <w:rPr>
          <w:rFonts w:cs="Times New Roman"/>
        </w:rPr>
        <w:t>, passando a</w:t>
      </w:r>
      <w:r w:rsidR="00851119" w:rsidRPr="00CD3E39">
        <w:rPr>
          <w:rFonts w:cs="Times New Roman"/>
        </w:rPr>
        <w:t xml:space="preserve"> vigorar com a seguinte redação:</w:t>
      </w:r>
    </w:p>
    <w:p w:rsidR="00DC132F" w:rsidRPr="00CD3E39" w:rsidRDefault="00DC132F" w:rsidP="00DC132F">
      <w:pPr>
        <w:pStyle w:val="Corpodetexto"/>
        <w:spacing w:after="0"/>
        <w:ind w:firstLine="1418"/>
        <w:jc w:val="both"/>
        <w:rPr>
          <w:rFonts w:cs="Times New Roman"/>
        </w:rPr>
      </w:pPr>
    </w:p>
    <w:p w:rsidR="00476555" w:rsidRPr="00CD3E39" w:rsidRDefault="00851119" w:rsidP="00DC132F">
      <w:pPr>
        <w:pStyle w:val="Corpodetexto"/>
        <w:spacing w:after="0"/>
        <w:ind w:left="2835"/>
        <w:jc w:val="both"/>
        <w:rPr>
          <w:rFonts w:cs="Times New Roman"/>
          <w:i/>
        </w:rPr>
      </w:pPr>
      <w:r w:rsidRPr="00CD3E39">
        <w:rPr>
          <w:rFonts w:cs="Times New Roman"/>
          <w:i/>
        </w:rPr>
        <w:t>“</w:t>
      </w:r>
      <w:r w:rsidR="00541FAF" w:rsidRPr="00CD3E39">
        <w:rPr>
          <w:rFonts w:cs="Times New Roman"/>
          <w:i/>
        </w:rPr>
        <w:t>§</w:t>
      </w:r>
      <w:r w:rsidRPr="00CD3E39">
        <w:rPr>
          <w:rFonts w:cs="Times New Roman"/>
          <w:i/>
        </w:rPr>
        <w:t xml:space="preserve"> </w:t>
      </w:r>
      <w:r w:rsidR="00C95A30" w:rsidRPr="00CD3E39">
        <w:rPr>
          <w:rFonts w:cs="Times New Roman"/>
          <w:i/>
        </w:rPr>
        <w:t>4</w:t>
      </w:r>
      <w:r w:rsidRPr="00CD3E39">
        <w:rPr>
          <w:rFonts w:cs="Times New Roman"/>
          <w:i/>
        </w:rPr>
        <w:t xml:space="preserve">º - O </w:t>
      </w:r>
      <w:r w:rsidR="00541FAF" w:rsidRPr="00CD3E39">
        <w:rPr>
          <w:rFonts w:cs="Times New Roman"/>
          <w:i/>
        </w:rPr>
        <w:t>I</w:t>
      </w:r>
      <w:r w:rsidRPr="00CD3E39">
        <w:rPr>
          <w:rFonts w:cs="Times New Roman"/>
          <w:i/>
        </w:rPr>
        <w:t xml:space="preserve">mposto </w:t>
      </w:r>
      <w:r w:rsidR="00541FAF" w:rsidRPr="00CD3E39">
        <w:rPr>
          <w:rFonts w:cs="Times New Roman"/>
          <w:i/>
        </w:rPr>
        <w:t>S</w:t>
      </w:r>
      <w:r w:rsidRPr="00CD3E39">
        <w:rPr>
          <w:rFonts w:cs="Times New Roman"/>
          <w:i/>
        </w:rPr>
        <w:t xml:space="preserve">obre </w:t>
      </w:r>
      <w:r w:rsidR="00541FAF" w:rsidRPr="00CD3E39">
        <w:rPr>
          <w:rFonts w:cs="Times New Roman"/>
          <w:i/>
        </w:rPr>
        <w:t>S</w:t>
      </w:r>
      <w:r w:rsidRPr="00CD3E39">
        <w:rPr>
          <w:rFonts w:cs="Times New Roman"/>
          <w:i/>
        </w:rPr>
        <w:t xml:space="preserve">erviços de </w:t>
      </w:r>
      <w:r w:rsidR="00541FAF" w:rsidRPr="00CD3E39">
        <w:rPr>
          <w:rFonts w:cs="Times New Roman"/>
          <w:i/>
        </w:rPr>
        <w:t>Qualquer N</w:t>
      </w:r>
      <w:r w:rsidRPr="00CD3E39">
        <w:rPr>
          <w:rFonts w:cs="Times New Roman"/>
          <w:i/>
        </w:rPr>
        <w:t xml:space="preserve">atureza – </w:t>
      </w:r>
      <w:r w:rsidR="00541FAF" w:rsidRPr="00CD3E39">
        <w:rPr>
          <w:rFonts w:cs="Times New Roman"/>
          <w:i/>
        </w:rPr>
        <w:t>ISSQN</w:t>
      </w:r>
      <w:r w:rsidR="007F5681" w:rsidRPr="00CD3E39">
        <w:rPr>
          <w:rFonts w:cs="Times New Roman"/>
          <w:i/>
        </w:rPr>
        <w:t>,</w:t>
      </w:r>
      <w:r w:rsidRPr="00CD3E39">
        <w:rPr>
          <w:rFonts w:cs="Times New Roman"/>
          <w:i/>
        </w:rPr>
        <w:t xml:space="preserve"> incidirá sobre os serviços constantes do </w:t>
      </w:r>
      <w:r w:rsidR="00476555" w:rsidRPr="00CD3E39">
        <w:rPr>
          <w:rFonts w:cs="Times New Roman"/>
          <w:i/>
        </w:rPr>
        <w:t>item 14.05 da lista de serviços</w:t>
      </w:r>
      <w:r w:rsidR="0099324C" w:rsidRPr="00CD3E39">
        <w:rPr>
          <w:rFonts w:cs="Times New Roman"/>
          <w:i/>
        </w:rPr>
        <w:t xml:space="preserve"> </w:t>
      </w:r>
      <w:r w:rsidR="00541FAF" w:rsidRPr="00CD3E39">
        <w:rPr>
          <w:rFonts w:cs="Times New Roman"/>
          <w:i/>
        </w:rPr>
        <w:t>integrante</w:t>
      </w:r>
      <w:r w:rsidR="007F5681" w:rsidRPr="00CD3E39">
        <w:rPr>
          <w:rFonts w:cs="Times New Roman"/>
          <w:i/>
        </w:rPr>
        <w:t xml:space="preserve"> da</w:t>
      </w:r>
      <w:r w:rsidR="007B49B9" w:rsidRPr="00CD3E39">
        <w:rPr>
          <w:rFonts w:cs="Times New Roman"/>
          <w:i/>
        </w:rPr>
        <w:t xml:space="preserve"> Lei Complementar nº 157 </w:t>
      </w:r>
      <w:r w:rsidR="007F5681" w:rsidRPr="00CD3E39">
        <w:rPr>
          <w:rFonts w:cs="Times New Roman"/>
          <w:i/>
        </w:rPr>
        <w:t>recepcionad</w:t>
      </w:r>
      <w:r w:rsidR="00B81BDC" w:rsidRPr="00CD3E39">
        <w:rPr>
          <w:rFonts w:cs="Times New Roman"/>
          <w:i/>
        </w:rPr>
        <w:t>os</w:t>
      </w:r>
      <w:r w:rsidR="007B49B9" w:rsidRPr="00CD3E39">
        <w:rPr>
          <w:rFonts w:cs="Times New Roman"/>
          <w:i/>
        </w:rPr>
        <w:t xml:space="preserve"> por esta lei</w:t>
      </w:r>
      <w:r w:rsidRPr="00CD3E39">
        <w:rPr>
          <w:rFonts w:cs="Times New Roman"/>
          <w:i/>
        </w:rPr>
        <w:t xml:space="preserve">, desde que os objetos, mercadorias </w:t>
      </w:r>
      <w:r w:rsidR="007F5681" w:rsidRPr="00CD3E39">
        <w:rPr>
          <w:rFonts w:cs="Times New Roman"/>
          <w:i/>
        </w:rPr>
        <w:t>ou qualquer outros bens, se</w:t>
      </w:r>
      <w:r w:rsidR="007B49B9" w:rsidRPr="00CD3E39">
        <w:rPr>
          <w:rFonts w:cs="Times New Roman"/>
          <w:i/>
        </w:rPr>
        <w:t>jam destinados</w:t>
      </w:r>
      <w:r w:rsidR="007F5681" w:rsidRPr="00CD3E39">
        <w:rPr>
          <w:rFonts w:cs="Times New Roman"/>
          <w:i/>
        </w:rPr>
        <w:t xml:space="preserve"> ao uso ou consumo do </w:t>
      </w:r>
      <w:proofErr w:type="spellStart"/>
      <w:proofErr w:type="gramStart"/>
      <w:r w:rsidR="007F5681" w:rsidRPr="00CD3E39">
        <w:rPr>
          <w:rFonts w:cs="Times New Roman"/>
          <w:i/>
        </w:rPr>
        <w:t>encomendante</w:t>
      </w:r>
      <w:proofErr w:type="spellEnd"/>
      <w:r w:rsidR="00541FAF" w:rsidRPr="00CD3E39">
        <w:rPr>
          <w:rFonts w:cs="Times New Roman"/>
          <w:i/>
        </w:rPr>
        <w:t>.</w:t>
      </w:r>
      <w:r w:rsidR="007F5681" w:rsidRPr="00CD3E39">
        <w:rPr>
          <w:rFonts w:cs="Times New Roman"/>
          <w:i/>
        </w:rPr>
        <w:t>”</w:t>
      </w:r>
      <w:proofErr w:type="gramEnd"/>
    </w:p>
    <w:p w:rsidR="00DD04D2" w:rsidRPr="00CD3E39" w:rsidRDefault="00DD04D2" w:rsidP="00DC132F">
      <w:pPr>
        <w:pStyle w:val="Corpodetexto"/>
        <w:spacing w:after="0"/>
        <w:ind w:left="2835"/>
        <w:jc w:val="both"/>
        <w:rPr>
          <w:rFonts w:cs="Times New Roman"/>
          <w:i/>
        </w:rPr>
      </w:pPr>
    </w:p>
    <w:p w:rsidR="00500D89" w:rsidRPr="00CD3E39" w:rsidRDefault="00500D89" w:rsidP="00DC132F">
      <w:pPr>
        <w:pStyle w:val="Corpodetexto"/>
        <w:spacing w:after="0"/>
        <w:ind w:firstLine="1418"/>
        <w:jc w:val="both"/>
        <w:rPr>
          <w:rFonts w:cs="Times New Roman"/>
        </w:rPr>
      </w:pPr>
      <w:r w:rsidRPr="00CD3E39">
        <w:rPr>
          <w:rFonts w:cs="Times New Roman"/>
          <w:b/>
        </w:rPr>
        <w:t>Art. 2º</w:t>
      </w:r>
      <w:r w:rsidRPr="00CD3E39">
        <w:rPr>
          <w:rFonts w:cs="Times New Roman"/>
        </w:rPr>
        <w:t xml:space="preserve"> Revogam-se as disposições em contrário.</w:t>
      </w:r>
    </w:p>
    <w:p w:rsidR="00DD04D2" w:rsidRPr="00CD3E39" w:rsidRDefault="00DD04D2" w:rsidP="00DC132F">
      <w:pPr>
        <w:pStyle w:val="Corpodetexto"/>
        <w:spacing w:after="0"/>
        <w:ind w:firstLine="1418"/>
        <w:jc w:val="both"/>
        <w:rPr>
          <w:rFonts w:cs="Times New Roman"/>
        </w:rPr>
      </w:pPr>
    </w:p>
    <w:p w:rsidR="00D51E9C" w:rsidRPr="00CD3E39" w:rsidRDefault="00500D89" w:rsidP="00DC132F">
      <w:pPr>
        <w:pStyle w:val="Corpodetexto"/>
        <w:spacing w:after="0"/>
        <w:ind w:firstLine="1418"/>
        <w:jc w:val="both"/>
        <w:rPr>
          <w:rFonts w:cs="Times New Roman"/>
        </w:rPr>
      </w:pPr>
      <w:r w:rsidRPr="00CD3E39">
        <w:rPr>
          <w:rFonts w:cs="Times New Roman"/>
          <w:b/>
        </w:rPr>
        <w:t>Art. 3</w:t>
      </w:r>
      <w:r w:rsidR="00541FAF" w:rsidRPr="00CD3E39">
        <w:rPr>
          <w:rFonts w:cs="Times New Roman"/>
          <w:b/>
        </w:rPr>
        <w:t>º</w:t>
      </w:r>
      <w:r w:rsidR="00541FAF" w:rsidRPr="00CD3E39">
        <w:rPr>
          <w:rFonts w:cs="Times New Roman"/>
        </w:rPr>
        <w:t xml:space="preserve"> </w:t>
      </w:r>
      <w:r w:rsidR="00D51E9C" w:rsidRPr="00CD3E39">
        <w:rPr>
          <w:rFonts w:cs="Times New Roman"/>
        </w:rPr>
        <w:t>Esta lei entra em vigor na data de sua publicação</w:t>
      </w:r>
      <w:r w:rsidRPr="00CD3E39">
        <w:rPr>
          <w:rFonts w:cs="Times New Roman"/>
        </w:rPr>
        <w:t>, retroagido seus efeitos a 1º de janeiro de 2018</w:t>
      </w:r>
      <w:r w:rsidR="00D51E9C" w:rsidRPr="00CD3E39">
        <w:rPr>
          <w:rFonts w:cs="Times New Roman"/>
        </w:rPr>
        <w:t>.</w:t>
      </w:r>
    </w:p>
    <w:p w:rsidR="00D51E9C" w:rsidRPr="00CD3E39" w:rsidRDefault="00D51E9C" w:rsidP="00DC132F">
      <w:pPr>
        <w:pStyle w:val="Corpodetexto"/>
        <w:spacing w:after="0"/>
        <w:ind w:firstLine="1418"/>
        <w:jc w:val="both"/>
        <w:rPr>
          <w:rFonts w:cs="Times New Roman"/>
        </w:rPr>
      </w:pPr>
    </w:p>
    <w:p w:rsidR="00500D89" w:rsidRPr="00CD3E39" w:rsidRDefault="00500D89" w:rsidP="00DC132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E39">
        <w:rPr>
          <w:rFonts w:ascii="Times New Roman" w:hAnsi="Times New Roman" w:cs="Times New Roman"/>
          <w:b/>
          <w:sz w:val="24"/>
          <w:szCs w:val="24"/>
        </w:rPr>
        <w:t>Dona Emma (SC)</w:t>
      </w:r>
      <w:r w:rsidRPr="00CD3E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3E39">
        <w:rPr>
          <w:rFonts w:ascii="Times New Roman" w:hAnsi="Times New Roman" w:cs="Times New Roman"/>
          <w:sz w:val="24"/>
          <w:szCs w:val="24"/>
        </w:rPr>
        <w:t xml:space="preserve"> 18 de junho de 2018.</w:t>
      </w:r>
    </w:p>
    <w:p w:rsidR="00500D89" w:rsidRPr="00CD3E39" w:rsidRDefault="00500D89" w:rsidP="00DC132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00D89" w:rsidRPr="00CD3E39" w:rsidRDefault="00500D89" w:rsidP="00D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2F" w:rsidRPr="00CD3E39" w:rsidRDefault="00DC132F" w:rsidP="00D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2F" w:rsidRPr="00CD3E39" w:rsidRDefault="00DC132F" w:rsidP="00D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D89" w:rsidRPr="00CD3E39" w:rsidRDefault="00500D89" w:rsidP="00DC1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E39">
        <w:rPr>
          <w:rFonts w:ascii="Times New Roman" w:hAnsi="Times New Roman" w:cs="Times New Roman"/>
          <w:b/>
          <w:sz w:val="24"/>
          <w:szCs w:val="24"/>
        </w:rPr>
        <w:t>NERCI BARP</w:t>
      </w:r>
    </w:p>
    <w:p w:rsidR="00500D89" w:rsidRPr="00CD3E39" w:rsidRDefault="00500D89" w:rsidP="00DC1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E39">
        <w:rPr>
          <w:rFonts w:ascii="Times New Roman" w:hAnsi="Times New Roman" w:cs="Times New Roman"/>
          <w:sz w:val="24"/>
          <w:szCs w:val="24"/>
        </w:rPr>
        <w:t>Prefeito Municipal</w:t>
      </w:r>
    </w:p>
    <w:p w:rsidR="00FD7A28" w:rsidRPr="00CD3E39" w:rsidRDefault="00FD7A28" w:rsidP="00DC132F">
      <w:pPr>
        <w:pStyle w:val="Corpodetexto"/>
        <w:spacing w:after="0"/>
        <w:jc w:val="both"/>
        <w:rPr>
          <w:rFonts w:cs="Times New Roman"/>
        </w:rPr>
      </w:pPr>
    </w:p>
    <w:p w:rsidR="00DC132F" w:rsidRPr="00CD3E39" w:rsidRDefault="00DC132F" w:rsidP="00DC132F">
      <w:pPr>
        <w:pStyle w:val="Corpodetexto"/>
        <w:spacing w:after="0"/>
        <w:jc w:val="both"/>
        <w:rPr>
          <w:rFonts w:cs="Times New Roman"/>
        </w:rPr>
      </w:pPr>
    </w:p>
    <w:p w:rsidR="00DC132F" w:rsidRPr="00CD3E39" w:rsidRDefault="00DC132F" w:rsidP="00DC132F">
      <w:pPr>
        <w:pStyle w:val="Corpodetexto"/>
        <w:spacing w:after="0"/>
        <w:jc w:val="both"/>
        <w:rPr>
          <w:rFonts w:cs="Times New Roman"/>
        </w:rPr>
      </w:pPr>
    </w:p>
    <w:p w:rsidR="00DC132F" w:rsidRPr="00CD3E39" w:rsidRDefault="00DC132F" w:rsidP="00DC132F">
      <w:pPr>
        <w:pStyle w:val="Corpodetexto"/>
        <w:spacing w:after="0"/>
        <w:jc w:val="both"/>
        <w:rPr>
          <w:rFonts w:cs="Times New Roman"/>
        </w:rPr>
      </w:pPr>
    </w:p>
    <w:p w:rsidR="00DC132F" w:rsidRPr="00CD3E39" w:rsidRDefault="00DC132F" w:rsidP="00DC132F">
      <w:pPr>
        <w:pStyle w:val="Corpodetexto"/>
        <w:spacing w:after="0"/>
        <w:jc w:val="both"/>
        <w:rPr>
          <w:rFonts w:cs="Times New Roman"/>
        </w:rPr>
      </w:pPr>
    </w:p>
    <w:p w:rsidR="00DC132F" w:rsidRPr="00CD3E39" w:rsidRDefault="00DC132F" w:rsidP="00DC132F">
      <w:pPr>
        <w:pStyle w:val="Corpodetexto"/>
        <w:spacing w:after="0"/>
        <w:jc w:val="both"/>
        <w:rPr>
          <w:rFonts w:cs="Times New Roman"/>
        </w:rPr>
      </w:pPr>
    </w:p>
    <w:p w:rsidR="00DC132F" w:rsidRPr="00CD3E39" w:rsidRDefault="00DC132F" w:rsidP="00DC132F">
      <w:pPr>
        <w:pStyle w:val="Corpodetexto"/>
        <w:spacing w:after="0"/>
        <w:jc w:val="both"/>
        <w:rPr>
          <w:rFonts w:cs="Times New Roman"/>
        </w:rPr>
      </w:pPr>
    </w:p>
    <w:p w:rsidR="00DD04D2" w:rsidRPr="00CD3E39" w:rsidRDefault="00DD04D2" w:rsidP="00DC132F">
      <w:pPr>
        <w:pStyle w:val="Corpodetexto"/>
        <w:spacing w:after="0"/>
        <w:jc w:val="both"/>
        <w:rPr>
          <w:rFonts w:cs="Times New Roman"/>
        </w:rPr>
      </w:pPr>
    </w:p>
    <w:p w:rsidR="00C95A30" w:rsidRPr="00CD3E39" w:rsidRDefault="00C95A30" w:rsidP="00DC1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E39">
        <w:rPr>
          <w:rFonts w:ascii="Times New Roman" w:hAnsi="Times New Roman" w:cs="Times New Roman"/>
          <w:b/>
          <w:sz w:val="24"/>
          <w:szCs w:val="24"/>
        </w:rPr>
        <w:lastRenderedPageBreak/>
        <w:t>MENSAGEM AO PROJETO DE LEI COMPLEMENTAR Nº 001/2018</w:t>
      </w:r>
    </w:p>
    <w:p w:rsidR="00C95A30" w:rsidRPr="00CD3E39" w:rsidRDefault="00C95A30" w:rsidP="00DC132F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C95A30" w:rsidRPr="00CD3E39" w:rsidRDefault="00C95A30" w:rsidP="00DC132F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5A30" w:rsidRPr="00CD3E39" w:rsidRDefault="00C95A30" w:rsidP="00DC132F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CD3E39">
        <w:rPr>
          <w:rFonts w:ascii="Times New Roman" w:hAnsi="Times New Roman" w:cs="Times New Roman"/>
          <w:sz w:val="24"/>
          <w:szCs w:val="24"/>
        </w:rPr>
        <w:t>Senhor Presidente,</w:t>
      </w:r>
    </w:p>
    <w:p w:rsidR="00C95A30" w:rsidRPr="00CD3E39" w:rsidRDefault="00C95A30" w:rsidP="00DC132F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CD3E39">
        <w:rPr>
          <w:rFonts w:ascii="Times New Roman" w:hAnsi="Times New Roman" w:cs="Times New Roman"/>
          <w:sz w:val="24"/>
          <w:szCs w:val="24"/>
        </w:rPr>
        <w:t>Senhoras Vereadoras,</w:t>
      </w:r>
    </w:p>
    <w:p w:rsidR="00C95A30" w:rsidRPr="00CD3E39" w:rsidRDefault="00C95A30" w:rsidP="00DC132F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CD3E39">
        <w:rPr>
          <w:rFonts w:ascii="Times New Roman" w:hAnsi="Times New Roman" w:cs="Times New Roman"/>
          <w:sz w:val="24"/>
          <w:szCs w:val="24"/>
        </w:rPr>
        <w:t>Senhores Vereadores,</w:t>
      </w:r>
    </w:p>
    <w:p w:rsidR="00C95A30" w:rsidRPr="00CD3E39" w:rsidRDefault="00C95A30" w:rsidP="00D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30" w:rsidRPr="00CD3E39" w:rsidRDefault="00C95A30" w:rsidP="00CD3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39">
        <w:rPr>
          <w:rFonts w:ascii="Times New Roman" w:hAnsi="Times New Roman" w:cs="Times New Roman"/>
          <w:sz w:val="24"/>
          <w:szCs w:val="24"/>
        </w:rPr>
        <w:t>Encaminhamos o projeto de lei complementar acima referenciado para apreciação dessa Colenda Casa Legislativa, objetivando elucidar entendimento sobre a incidência do ISSQN sobre os serviços contidos no item 14.05 da Lei Complementar Federal nº 157 e recepcionado pela Lei Complementar Municipal nº 74/2005.</w:t>
      </w:r>
    </w:p>
    <w:p w:rsidR="00C95A30" w:rsidRPr="00CD3E39" w:rsidRDefault="00C95A30" w:rsidP="00DC132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95A30" w:rsidRPr="00CD3E39" w:rsidRDefault="00C95A30" w:rsidP="00CD3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39">
        <w:rPr>
          <w:rFonts w:ascii="Times New Roman" w:hAnsi="Times New Roman" w:cs="Times New Roman"/>
          <w:sz w:val="24"/>
          <w:szCs w:val="24"/>
        </w:rPr>
        <w:t xml:space="preserve">A proposta visa solucionar conflitos tributários entre o ISSQN de competência Municipal e o ICMS de competência tributária Estadual, porém com a quota parte pertencente aos municípios, face o entendimento que por ora tem o STF, conforme agravo de </w:t>
      </w:r>
      <w:proofErr w:type="gramStart"/>
      <w:r w:rsidRPr="00CD3E39">
        <w:rPr>
          <w:rFonts w:ascii="Times New Roman" w:hAnsi="Times New Roman" w:cs="Times New Roman"/>
          <w:sz w:val="24"/>
          <w:szCs w:val="24"/>
        </w:rPr>
        <w:t>Instrumento  nº</w:t>
      </w:r>
      <w:proofErr w:type="gramEnd"/>
      <w:r w:rsidRPr="00CD3E39">
        <w:rPr>
          <w:rFonts w:ascii="Times New Roman" w:hAnsi="Times New Roman" w:cs="Times New Roman"/>
          <w:sz w:val="24"/>
          <w:szCs w:val="24"/>
        </w:rPr>
        <w:t xml:space="preserve"> 803.296 – SP, onde o Ministro Dias </w:t>
      </w:r>
      <w:proofErr w:type="spellStart"/>
      <w:r w:rsidRPr="00CD3E39">
        <w:rPr>
          <w:rFonts w:ascii="Times New Roman" w:hAnsi="Times New Roman" w:cs="Times New Roman"/>
          <w:sz w:val="24"/>
          <w:szCs w:val="24"/>
        </w:rPr>
        <w:t>Tofli</w:t>
      </w:r>
      <w:proofErr w:type="spellEnd"/>
      <w:r w:rsidRPr="00CD3E39">
        <w:rPr>
          <w:rFonts w:ascii="Times New Roman" w:hAnsi="Times New Roman" w:cs="Times New Roman"/>
          <w:sz w:val="24"/>
          <w:szCs w:val="24"/>
        </w:rPr>
        <w:t>, em seu voto, disse o seguinte:</w:t>
      </w:r>
    </w:p>
    <w:p w:rsidR="00C95A30" w:rsidRPr="00CD3E39" w:rsidRDefault="00C95A30" w:rsidP="00D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A30" w:rsidRPr="00CD3E39" w:rsidRDefault="00C95A30" w:rsidP="00DC132F">
      <w:pPr>
        <w:pStyle w:val="citacao"/>
        <w:spacing w:before="0" w:beforeAutospacing="0" w:after="0" w:afterAutospacing="0"/>
        <w:ind w:left="1440"/>
        <w:jc w:val="both"/>
        <w:rPr>
          <w:i/>
          <w:iCs/>
        </w:rPr>
      </w:pPr>
      <w:r w:rsidRPr="00CD3E39">
        <w:rPr>
          <w:i/>
          <w:iCs/>
        </w:rPr>
        <w:t>“Nas hipóteses em que ocorre a circulação posterior não remanesce qualquer dúvida quanto à incidência do ICMS. A situação mais tormentosa ocorre na entrega direta ao consumidor final (situação de empresas que encomendam pastas e agendas com timbres e signos impressos nos materiais). Em casos como esses, cumpre ao julgador investigar se a atividade envolve industrialização.</w:t>
      </w:r>
    </w:p>
    <w:p w:rsidR="00C95A30" w:rsidRPr="00CD3E39" w:rsidRDefault="00C95A30" w:rsidP="00DC132F">
      <w:pPr>
        <w:pStyle w:val="citacao"/>
        <w:spacing w:before="0" w:beforeAutospacing="0" w:after="0" w:afterAutospacing="0"/>
        <w:ind w:left="1440"/>
        <w:jc w:val="both"/>
        <w:rPr>
          <w:i/>
          <w:iCs/>
        </w:rPr>
      </w:pPr>
      <w:r w:rsidRPr="00CD3E39">
        <w:rPr>
          <w:i/>
          <w:iCs/>
        </w:rPr>
        <w:t xml:space="preserve">Em tais situações, costumeiramente, observa-se a produção em larga escala, o uso de maquinário pesado e talento humano mitigado e a presença de fatores de produção organizados para a exploração de atividade econômica </w:t>
      </w:r>
      <w:proofErr w:type="spellStart"/>
      <w:proofErr w:type="gramStart"/>
      <w:r w:rsidRPr="00CD3E39">
        <w:rPr>
          <w:i/>
          <w:iCs/>
        </w:rPr>
        <w:t>finalisticamente</w:t>
      </w:r>
      <w:proofErr w:type="spellEnd"/>
      <w:proofErr w:type="gramEnd"/>
      <w:r w:rsidRPr="00CD3E39">
        <w:rPr>
          <w:i/>
          <w:iCs/>
        </w:rPr>
        <w:t xml:space="preserve"> concentrada no fornecimento de mercadorias. Se houver atividade industrial, deverá incidir o ICMS (após a circulação) e o IPI. Caso não seja essa a hipótese, deverá incidir o ISS. Conforme todo o exposto, a situação em comento não conduz à incidência do </w:t>
      </w:r>
      <w:proofErr w:type="gramStart"/>
      <w:r w:rsidRPr="00CD3E39">
        <w:rPr>
          <w:i/>
          <w:iCs/>
        </w:rPr>
        <w:t>ISS.”</w:t>
      </w:r>
      <w:proofErr w:type="gramEnd"/>
    </w:p>
    <w:p w:rsidR="00C95A30" w:rsidRPr="00CD3E39" w:rsidRDefault="00C95A30" w:rsidP="00DC132F">
      <w:pPr>
        <w:pStyle w:val="citacao"/>
        <w:spacing w:before="0" w:beforeAutospacing="0" w:after="0" w:afterAutospacing="0"/>
        <w:jc w:val="both"/>
        <w:rPr>
          <w:iCs/>
        </w:rPr>
      </w:pPr>
    </w:p>
    <w:p w:rsidR="00C95A30" w:rsidRPr="00CD3E39" w:rsidRDefault="00C95A30" w:rsidP="00CD3E39">
      <w:pPr>
        <w:pStyle w:val="citacao"/>
        <w:spacing w:before="0" w:beforeAutospacing="0" w:after="0" w:afterAutospacing="0"/>
        <w:ind w:firstLine="708"/>
        <w:jc w:val="both"/>
        <w:rPr>
          <w:iCs/>
        </w:rPr>
      </w:pPr>
      <w:r w:rsidRPr="00CD3E39">
        <w:rPr>
          <w:iCs/>
        </w:rPr>
        <w:t xml:space="preserve">Diante do exposto, se extrai o entendimento de que se os objetos, mercadorias, ou outro bem que sofrer qualquer ação/serviço elencados no item 14.05 e se destinarem ao uso ou consumo do </w:t>
      </w:r>
      <w:proofErr w:type="spellStart"/>
      <w:r w:rsidRPr="00CD3E39">
        <w:rPr>
          <w:iCs/>
        </w:rPr>
        <w:t>encomendante</w:t>
      </w:r>
      <w:proofErr w:type="spellEnd"/>
      <w:r w:rsidRPr="00CD3E39">
        <w:rPr>
          <w:iCs/>
        </w:rPr>
        <w:t xml:space="preserve">, o valor da operação é base de cálculo do ISSQN, caso os bens que </w:t>
      </w:r>
      <w:proofErr w:type="gramStart"/>
      <w:r w:rsidRPr="00CD3E39">
        <w:rPr>
          <w:iCs/>
        </w:rPr>
        <w:t>sofrerem</w:t>
      </w:r>
      <w:proofErr w:type="gramEnd"/>
      <w:r w:rsidRPr="00CD3E39">
        <w:rPr>
          <w:iCs/>
        </w:rPr>
        <w:t xml:space="preserve"> ação/serviços elencados no item acima retornarem ao </w:t>
      </w:r>
      <w:proofErr w:type="spellStart"/>
      <w:r w:rsidRPr="00CD3E39">
        <w:rPr>
          <w:iCs/>
        </w:rPr>
        <w:t>encomendante</w:t>
      </w:r>
      <w:proofErr w:type="spellEnd"/>
      <w:r w:rsidRPr="00CD3E39">
        <w:rPr>
          <w:iCs/>
        </w:rPr>
        <w:t xml:space="preserve"> e se destinam a comercialização, ou circulação da mercadoria, o valor da operação é base de cálculo do ICMS.</w:t>
      </w:r>
    </w:p>
    <w:p w:rsidR="00C95A30" w:rsidRPr="00CD3E39" w:rsidRDefault="00C95A30" w:rsidP="00DC132F">
      <w:pPr>
        <w:pStyle w:val="citacao"/>
        <w:spacing w:before="0" w:beforeAutospacing="0" w:after="0" w:afterAutospacing="0"/>
        <w:ind w:firstLine="1418"/>
        <w:jc w:val="both"/>
        <w:rPr>
          <w:iCs/>
        </w:rPr>
      </w:pPr>
    </w:p>
    <w:p w:rsidR="00C95A30" w:rsidRPr="00CD3E39" w:rsidRDefault="00C95A30" w:rsidP="00CD3E39">
      <w:pPr>
        <w:pStyle w:val="citacao"/>
        <w:spacing w:before="0" w:beforeAutospacing="0" w:after="0" w:afterAutospacing="0"/>
        <w:ind w:firstLine="708"/>
        <w:jc w:val="both"/>
        <w:rPr>
          <w:iCs/>
        </w:rPr>
      </w:pPr>
      <w:r w:rsidRPr="00CD3E39">
        <w:rPr>
          <w:iCs/>
        </w:rPr>
        <w:t xml:space="preserve">Essas operações de prestação de serviços denominadas com </w:t>
      </w:r>
      <w:proofErr w:type="spellStart"/>
      <w:r w:rsidRPr="00CD3E39">
        <w:rPr>
          <w:iCs/>
        </w:rPr>
        <w:t>faccionistas</w:t>
      </w:r>
      <w:proofErr w:type="spellEnd"/>
      <w:r w:rsidRPr="00CD3E39">
        <w:rPr>
          <w:iCs/>
        </w:rPr>
        <w:t xml:space="preserve">, cuja mercadoria retorna ao </w:t>
      </w:r>
      <w:proofErr w:type="spellStart"/>
      <w:r w:rsidRPr="00CD3E39">
        <w:rPr>
          <w:iCs/>
        </w:rPr>
        <w:t>encomendante</w:t>
      </w:r>
      <w:proofErr w:type="spellEnd"/>
      <w:r w:rsidRPr="00CD3E39">
        <w:rPr>
          <w:iCs/>
        </w:rPr>
        <w:t xml:space="preserve"> para fins comerciais, são tratadas como operações de extensão de fábrica e o fisco estadual entende como sujeitas ao ICMS e por ora classificam-se no código fiscal de operação 5.124 para as operações dentro do Estado e 6.124 quando se destinam a outros Estados.</w:t>
      </w:r>
    </w:p>
    <w:p w:rsidR="00C95A30" w:rsidRPr="00CD3E39" w:rsidRDefault="00C95A30" w:rsidP="00DC132F">
      <w:pPr>
        <w:pStyle w:val="citacao"/>
        <w:spacing w:before="0" w:beforeAutospacing="0" w:after="0" w:afterAutospacing="0"/>
        <w:ind w:firstLine="1418"/>
        <w:jc w:val="both"/>
        <w:rPr>
          <w:iCs/>
        </w:rPr>
      </w:pPr>
    </w:p>
    <w:p w:rsidR="00C95A30" w:rsidRPr="00CD3E39" w:rsidRDefault="00C95A30" w:rsidP="00CD3E39">
      <w:pPr>
        <w:pStyle w:val="citacao"/>
        <w:spacing w:before="0" w:beforeAutospacing="0" w:after="0" w:afterAutospacing="0"/>
        <w:ind w:firstLine="708"/>
        <w:jc w:val="both"/>
        <w:rPr>
          <w:iCs/>
        </w:rPr>
      </w:pPr>
      <w:r w:rsidRPr="00CD3E39">
        <w:rPr>
          <w:iCs/>
        </w:rPr>
        <w:t xml:space="preserve">Com esses esclarecimentos, observa-se que em qualquer das competências tributárias, seja do ISSQN ou do ICMS, não haverá renúncia de receita por parte do Município, ora tributa diretamente ora retorna o ICMS do qual possui quota parte, pois as operações, quando se tratar de serviços de extensão de fábrica, geram valor adicionado, o qual é base de cálculo do índice </w:t>
      </w:r>
      <w:proofErr w:type="gramStart"/>
      <w:r w:rsidRPr="00CD3E39">
        <w:rPr>
          <w:iCs/>
        </w:rPr>
        <w:lastRenderedPageBreak/>
        <w:t>de</w:t>
      </w:r>
      <w:proofErr w:type="gramEnd"/>
      <w:r w:rsidRPr="00CD3E39">
        <w:rPr>
          <w:iCs/>
        </w:rPr>
        <w:t xml:space="preserve"> rateio do montante da quota parte ICMS, que mensalmente é depositado nos cofres do Município.</w:t>
      </w:r>
    </w:p>
    <w:p w:rsidR="000577CB" w:rsidRPr="00CD3E39" w:rsidRDefault="000577CB" w:rsidP="00DC132F">
      <w:pPr>
        <w:pStyle w:val="citacao"/>
        <w:spacing w:before="0" w:beforeAutospacing="0" w:after="0" w:afterAutospacing="0"/>
        <w:ind w:firstLine="1418"/>
        <w:jc w:val="both"/>
        <w:rPr>
          <w:iCs/>
        </w:rPr>
      </w:pPr>
    </w:p>
    <w:p w:rsidR="000577CB" w:rsidRPr="00CD3E39" w:rsidRDefault="00C95A30" w:rsidP="00CD3E39">
      <w:pPr>
        <w:pStyle w:val="citacao"/>
        <w:spacing w:before="0" w:beforeAutospacing="0" w:after="0" w:afterAutospacing="0"/>
        <w:ind w:firstLine="708"/>
        <w:jc w:val="both"/>
        <w:rPr>
          <w:iCs/>
        </w:rPr>
      </w:pPr>
      <w:r w:rsidRPr="00CD3E39">
        <w:rPr>
          <w:iCs/>
        </w:rPr>
        <w:t>Portanto, o projeto não exclui os serviços da base de cálculo do ISSQN, porém atribui-se moderação quanto a sua incidência. De qualquer forma não há renúncia de receita municipal e assim pede-se a sua aprovação.</w:t>
      </w:r>
    </w:p>
    <w:p w:rsidR="000577CB" w:rsidRPr="00CD3E39" w:rsidRDefault="000577CB" w:rsidP="00DC132F">
      <w:pPr>
        <w:pStyle w:val="citacao"/>
        <w:spacing w:before="0" w:beforeAutospacing="0" w:after="0" w:afterAutospacing="0"/>
        <w:ind w:firstLine="1418"/>
        <w:jc w:val="both"/>
        <w:rPr>
          <w:iCs/>
        </w:rPr>
      </w:pPr>
    </w:p>
    <w:p w:rsidR="00CD3E39" w:rsidRPr="00CD3E39" w:rsidRDefault="00CD3E39" w:rsidP="00CD3E39">
      <w:pPr>
        <w:tabs>
          <w:tab w:val="left" w:pos="2552"/>
        </w:tabs>
        <w:spacing w:after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E39">
        <w:rPr>
          <w:rFonts w:ascii="Times New Roman" w:hAnsi="Times New Roman" w:cs="Times New Roman"/>
          <w:sz w:val="24"/>
          <w:szCs w:val="24"/>
        </w:rPr>
        <w:t xml:space="preserve">Simultaneamente, após leitura e análise, solicito seja, por intermédio de Vossa Excelência, enviado à Plenária para deliberação, em </w:t>
      </w:r>
      <w:r w:rsidRPr="00CD3E39">
        <w:rPr>
          <w:rFonts w:ascii="Times New Roman" w:hAnsi="Times New Roman" w:cs="Times New Roman"/>
          <w:b/>
          <w:sz w:val="24"/>
          <w:szCs w:val="24"/>
        </w:rPr>
        <w:t>regime de urgência</w:t>
      </w:r>
      <w:r w:rsidRPr="00CD3E39">
        <w:rPr>
          <w:rFonts w:ascii="Times New Roman" w:hAnsi="Times New Roman" w:cs="Times New Roman"/>
          <w:sz w:val="24"/>
          <w:szCs w:val="24"/>
        </w:rPr>
        <w:t>, tendo em vista a importância da matéria.</w:t>
      </w:r>
    </w:p>
    <w:p w:rsidR="00CD3E39" w:rsidRPr="00CD3E39" w:rsidRDefault="00CD3E39" w:rsidP="00CD3E39">
      <w:pPr>
        <w:tabs>
          <w:tab w:val="left" w:pos="2552"/>
        </w:tabs>
        <w:spacing w:after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E39">
        <w:rPr>
          <w:rFonts w:ascii="Times New Roman" w:hAnsi="Times New Roman" w:cs="Times New Roman"/>
          <w:sz w:val="24"/>
          <w:szCs w:val="24"/>
        </w:rPr>
        <w:t>Certo de contarmos com o necessário apoio a esta propositura, apresentamos a Vossa Excelência e aos seus eminentes pares protestos de elevado apreço e distinta consideração.</w:t>
      </w:r>
    </w:p>
    <w:p w:rsidR="00C95A30" w:rsidRPr="00CD3E39" w:rsidRDefault="00C95A30" w:rsidP="00DC132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C132F" w:rsidRPr="00CD3E39" w:rsidRDefault="00DC132F" w:rsidP="00DC132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C132F" w:rsidRPr="00CD3E39" w:rsidRDefault="00DC132F" w:rsidP="00DC132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95A30" w:rsidRPr="00CD3E39" w:rsidRDefault="00C95A30" w:rsidP="00DC132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E39">
        <w:rPr>
          <w:rFonts w:ascii="Times New Roman" w:hAnsi="Times New Roman" w:cs="Times New Roman"/>
          <w:sz w:val="24"/>
          <w:szCs w:val="24"/>
        </w:rPr>
        <w:t>Dona Emma (SC),</w:t>
      </w:r>
      <w:proofErr w:type="gramEnd"/>
      <w:r w:rsidRPr="00CD3E39">
        <w:rPr>
          <w:rFonts w:ascii="Times New Roman" w:hAnsi="Times New Roman" w:cs="Times New Roman"/>
          <w:sz w:val="24"/>
          <w:szCs w:val="24"/>
        </w:rPr>
        <w:t xml:space="preserve"> 18 de junho de 2018.</w:t>
      </w:r>
    </w:p>
    <w:p w:rsidR="00C95A30" w:rsidRPr="00CD3E39" w:rsidRDefault="00C95A30" w:rsidP="00D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95A30" w:rsidRPr="00CD3E39" w:rsidRDefault="00C95A30" w:rsidP="00D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2F" w:rsidRPr="00CD3E39" w:rsidRDefault="00DC132F" w:rsidP="00D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2F" w:rsidRPr="00CD3E39" w:rsidRDefault="00DC132F" w:rsidP="00DC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A30" w:rsidRPr="00CD3E39" w:rsidRDefault="00C95A30" w:rsidP="00DC132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E39">
        <w:rPr>
          <w:rFonts w:ascii="Times New Roman" w:hAnsi="Times New Roman" w:cs="Times New Roman"/>
          <w:b/>
          <w:sz w:val="24"/>
          <w:szCs w:val="24"/>
        </w:rPr>
        <w:t>NERCI BARP</w:t>
      </w:r>
    </w:p>
    <w:p w:rsidR="00C95A30" w:rsidRPr="00CD3E39" w:rsidRDefault="00C95A30" w:rsidP="00DC132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E39">
        <w:rPr>
          <w:rFonts w:ascii="Times New Roman" w:hAnsi="Times New Roman" w:cs="Times New Roman"/>
          <w:sz w:val="24"/>
          <w:szCs w:val="24"/>
        </w:rPr>
        <w:t>Prefeito Municipal</w:t>
      </w:r>
    </w:p>
    <w:p w:rsidR="00C95A30" w:rsidRPr="00DC132F" w:rsidRDefault="00C95A30" w:rsidP="00DC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4D2" w:rsidRPr="00DC132F" w:rsidRDefault="00DD04D2" w:rsidP="00C95A30">
      <w:pPr>
        <w:pStyle w:val="Corpodetexto"/>
        <w:jc w:val="both"/>
        <w:rPr>
          <w:rFonts w:cs="Times New Roman"/>
        </w:rPr>
      </w:pPr>
    </w:p>
    <w:p w:rsidR="00DD04D2" w:rsidRPr="00C95A30" w:rsidRDefault="00DD04D2" w:rsidP="00C95A30">
      <w:pPr>
        <w:pStyle w:val="Corpodetexto"/>
        <w:jc w:val="both"/>
        <w:rPr>
          <w:rFonts w:cs="Times New Roman"/>
        </w:rPr>
      </w:pPr>
    </w:p>
    <w:sectPr w:rsidR="00DD04D2" w:rsidRPr="00C95A30" w:rsidSect="00000C69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88" w:rsidRDefault="00533488" w:rsidP="00DD04D2">
      <w:pPr>
        <w:spacing w:after="0" w:line="240" w:lineRule="auto"/>
      </w:pPr>
      <w:r>
        <w:separator/>
      </w:r>
    </w:p>
  </w:endnote>
  <w:endnote w:type="continuationSeparator" w:id="0">
    <w:p w:rsidR="00533488" w:rsidRDefault="00533488" w:rsidP="00DD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88" w:rsidRDefault="00533488" w:rsidP="00DD04D2">
      <w:pPr>
        <w:spacing w:after="0" w:line="240" w:lineRule="auto"/>
      </w:pPr>
      <w:r>
        <w:separator/>
      </w:r>
    </w:p>
  </w:footnote>
  <w:footnote w:type="continuationSeparator" w:id="0">
    <w:p w:rsidR="00533488" w:rsidRDefault="00533488" w:rsidP="00DD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7597"/>
    </w:tblGrid>
    <w:tr w:rsidR="00DD04D2" w:rsidTr="00230EAB">
      <w:tc>
        <w:tcPr>
          <w:tcW w:w="1561" w:type="dxa"/>
        </w:tcPr>
        <w:p w:rsidR="00DD04D2" w:rsidRDefault="00DD04D2" w:rsidP="00DD04D2">
          <w:r>
            <w:rPr>
              <w:noProof/>
              <w:lang w:eastAsia="pt-BR"/>
            </w:rPr>
            <w:drawing>
              <wp:inline distT="0" distB="0" distL="0" distR="0">
                <wp:extent cx="868680" cy="1036320"/>
                <wp:effectExtent l="0" t="0" r="7620" b="0"/>
                <wp:docPr id="1" name="Imagem 1" descr="BRAZ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Z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7" w:type="dxa"/>
        </w:tcPr>
        <w:p w:rsidR="00DD04D2" w:rsidRPr="00BD731B" w:rsidRDefault="00DD04D2" w:rsidP="00DD04D2">
          <w:pPr>
            <w:pStyle w:val="Ttulo1"/>
            <w:jc w:val="center"/>
            <w:rPr>
              <w:rFonts w:ascii="Rockwell Extra Bold" w:hAnsi="Rockwell Extra Bold"/>
              <w:b/>
              <w:sz w:val="36"/>
              <w:szCs w:val="36"/>
              <w:u w:val="none"/>
            </w:rPr>
          </w:pPr>
          <w:proofErr w:type="gramStart"/>
          <w:r w:rsidRPr="00BD731B">
            <w:rPr>
              <w:rFonts w:ascii="Rockwell Extra Bold" w:hAnsi="Rockwell Extra Bold"/>
              <w:b/>
              <w:sz w:val="36"/>
              <w:szCs w:val="36"/>
              <w:u w:val="none"/>
            </w:rPr>
            <w:t>MUNICÍPIO  DE</w:t>
          </w:r>
          <w:proofErr w:type="gramEnd"/>
          <w:r w:rsidRPr="00BD731B">
            <w:rPr>
              <w:rFonts w:ascii="Rockwell Extra Bold" w:hAnsi="Rockwell Extra Bold"/>
              <w:b/>
              <w:sz w:val="36"/>
              <w:szCs w:val="36"/>
              <w:u w:val="none"/>
            </w:rPr>
            <w:t xml:space="preserve">  DONA  EMMA</w:t>
          </w:r>
        </w:p>
        <w:p w:rsidR="00DD04D2" w:rsidRPr="00BD731B" w:rsidRDefault="00DD04D2" w:rsidP="00DD04D2">
          <w:pPr>
            <w:pStyle w:val="Ttulo3"/>
            <w:rPr>
              <w:rFonts w:ascii="Rockwell Extra Bold" w:hAnsi="Rockwell Extra Bold"/>
            </w:rPr>
          </w:pPr>
          <w:r w:rsidRPr="00BD731B">
            <w:rPr>
              <w:rFonts w:ascii="Rockwell Extra Bold" w:hAnsi="Rockwell Extra Bold"/>
              <w:b/>
              <w:sz w:val="30"/>
              <w:szCs w:val="30"/>
            </w:rPr>
            <w:t>ESTADO DE SANTA CATARINA</w:t>
          </w:r>
        </w:p>
        <w:p w:rsidR="00DD04D2" w:rsidRPr="00BD731B" w:rsidRDefault="00DD04D2" w:rsidP="00DD04D2">
          <w:pPr>
            <w:pStyle w:val="Ttulo2"/>
            <w:rPr>
              <w:i w:val="0"/>
              <w:iCs/>
              <w:sz w:val="23"/>
              <w:szCs w:val="23"/>
            </w:rPr>
          </w:pPr>
          <w:r w:rsidRPr="00BD731B">
            <w:rPr>
              <w:i w:val="0"/>
              <w:iCs/>
              <w:sz w:val="23"/>
              <w:szCs w:val="23"/>
            </w:rPr>
            <w:t xml:space="preserve">CNPJ </w:t>
          </w:r>
          <w:r>
            <w:rPr>
              <w:i w:val="0"/>
              <w:iCs/>
              <w:sz w:val="23"/>
              <w:szCs w:val="23"/>
            </w:rPr>
            <w:t>nº</w:t>
          </w:r>
          <w:r w:rsidRPr="00BD731B">
            <w:rPr>
              <w:i w:val="0"/>
              <w:iCs/>
              <w:sz w:val="23"/>
              <w:szCs w:val="23"/>
            </w:rPr>
            <w:t xml:space="preserve"> 83.102.426/0001-83</w:t>
          </w:r>
        </w:p>
        <w:p w:rsidR="00DD04D2" w:rsidRPr="00BD731B" w:rsidRDefault="00DD04D2" w:rsidP="00DD04D2">
          <w:pPr>
            <w:pStyle w:val="Ttulo2"/>
            <w:rPr>
              <w:i w:val="0"/>
              <w:iCs/>
              <w:sz w:val="23"/>
              <w:szCs w:val="23"/>
            </w:rPr>
          </w:pPr>
          <w:r w:rsidRPr="00BD731B">
            <w:rPr>
              <w:i w:val="0"/>
              <w:iCs/>
              <w:sz w:val="23"/>
              <w:szCs w:val="23"/>
            </w:rPr>
            <w:t xml:space="preserve">Rua Alberto </w:t>
          </w:r>
          <w:proofErr w:type="spellStart"/>
          <w:r w:rsidRPr="00BD731B">
            <w:rPr>
              <w:i w:val="0"/>
              <w:iCs/>
              <w:sz w:val="23"/>
              <w:szCs w:val="23"/>
            </w:rPr>
            <w:t>Koglin</w:t>
          </w:r>
          <w:proofErr w:type="spellEnd"/>
          <w:r w:rsidRPr="00BD731B">
            <w:rPr>
              <w:i w:val="0"/>
              <w:iCs/>
              <w:sz w:val="23"/>
              <w:szCs w:val="23"/>
            </w:rPr>
            <w:t xml:space="preserve"> </w:t>
          </w:r>
          <w:r>
            <w:rPr>
              <w:i w:val="0"/>
              <w:iCs/>
              <w:sz w:val="23"/>
              <w:szCs w:val="23"/>
            </w:rPr>
            <w:t>nº</w:t>
          </w:r>
          <w:r w:rsidRPr="00BD731B">
            <w:rPr>
              <w:i w:val="0"/>
              <w:iCs/>
              <w:sz w:val="23"/>
              <w:szCs w:val="23"/>
            </w:rPr>
            <w:t xml:space="preserve"> 3493 – Centro – 89.155-000 – Dona Emma – SC</w:t>
          </w:r>
        </w:p>
        <w:p w:rsidR="00DD04D2" w:rsidRDefault="00DD04D2" w:rsidP="00DD04D2">
          <w:pPr>
            <w:jc w:val="center"/>
          </w:pPr>
          <w:r w:rsidRPr="00BD731B">
            <w:rPr>
              <w:iCs/>
              <w:sz w:val="23"/>
              <w:szCs w:val="23"/>
            </w:rPr>
            <w:t>Fone/Fax: (47) 3364-</w:t>
          </w:r>
          <w:r>
            <w:rPr>
              <w:iCs/>
              <w:sz w:val="23"/>
              <w:szCs w:val="23"/>
            </w:rPr>
            <w:t>2800</w:t>
          </w:r>
          <w:r w:rsidRPr="00BD731B">
            <w:rPr>
              <w:iCs/>
              <w:sz w:val="23"/>
              <w:szCs w:val="23"/>
            </w:rPr>
            <w:t xml:space="preserve">   –   E-mail: </w:t>
          </w:r>
          <w:hyperlink r:id="rId2" w:history="1">
            <w:r w:rsidRPr="00BD731B">
              <w:rPr>
                <w:rStyle w:val="Hyperlink"/>
                <w:iCs/>
                <w:sz w:val="23"/>
                <w:szCs w:val="23"/>
              </w:rPr>
              <w:t>prefeitura@donaemma.sc.gov.br</w:t>
            </w:r>
          </w:hyperlink>
        </w:p>
      </w:tc>
    </w:tr>
  </w:tbl>
  <w:p w:rsidR="00DD04D2" w:rsidRDefault="00DD04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55"/>
    <w:rsid w:val="00000C69"/>
    <w:rsid w:val="000577CB"/>
    <w:rsid w:val="001741F2"/>
    <w:rsid w:val="0030069D"/>
    <w:rsid w:val="0046713C"/>
    <w:rsid w:val="00471704"/>
    <w:rsid w:val="00476555"/>
    <w:rsid w:val="00500D89"/>
    <w:rsid w:val="00533488"/>
    <w:rsid w:val="00541FAF"/>
    <w:rsid w:val="006F0A38"/>
    <w:rsid w:val="00795EF0"/>
    <w:rsid w:val="007B49B9"/>
    <w:rsid w:val="007F5681"/>
    <w:rsid w:val="00851119"/>
    <w:rsid w:val="0099324C"/>
    <w:rsid w:val="00AB25CA"/>
    <w:rsid w:val="00AE346F"/>
    <w:rsid w:val="00B4122E"/>
    <w:rsid w:val="00B81BDC"/>
    <w:rsid w:val="00C43A62"/>
    <w:rsid w:val="00C95A30"/>
    <w:rsid w:val="00CB3492"/>
    <w:rsid w:val="00CB641D"/>
    <w:rsid w:val="00CD10FE"/>
    <w:rsid w:val="00CD3E39"/>
    <w:rsid w:val="00D51E9C"/>
    <w:rsid w:val="00DA1E8D"/>
    <w:rsid w:val="00DC132F"/>
    <w:rsid w:val="00DD04D2"/>
    <w:rsid w:val="00F41522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A496"/>
  <w15:chartTrackingRefBased/>
  <w15:docId w15:val="{BE0510AF-8C22-456E-82C5-15A34996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D04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D04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D04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76555"/>
    <w:pPr>
      <w:widowControl w:val="0"/>
      <w:suppressAutoHyphens/>
      <w:spacing w:after="12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476555"/>
    <w:rPr>
      <w:rFonts w:ascii="Times New Roman" w:eastAsia="Lucida Sans Unicode" w:hAnsi="Times New Roman" w:cs="Ari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49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D0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4D2"/>
  </w:style>
  <w:style w:type="paragraph" w:styleId="Rodap">
    <w:name w:val="footer"/>
    <w:basedOn w:val="Normal"/>
    <w:link w:val="RodapChar"/>
    <w:uiPriority w:val="99"/>
    <w:unhideWhenUsed/>
    <w:rsid w:val="00DD0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4D2"/>
  </w:style>
  <w:style w:type="character" w:customStyle="1" w:styleId="Ttulo1Char">
    <w:name w:val="Título 1 Char"/>
    <w:basedOn w:val="Fontepargpadro"/>
    <w:link w:val="Ttulo1"/>
    <w:rsid w:val="00DD04D2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DD04D2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D04D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DD04D2"/>
    <w:rPr>
      <w:color w:val="0000FF"/>
      <w:u w:val="single"/>
    </w:rPr>
  </w:style>
  <w:style w:type="paragraph" w:customStyle="1" w:styleId="citacao">
    <w:name w:val="citacao"/>
    <w:basedOn w:val="Normal"/>
    <w:rsid w:val="00C9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donaemm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EF7A-9F22-4D12-B491-DFC4E914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Agostinho17</dc:creator>
  <cp:keywords/>
  <dc:description/>
  <cp:lastModifiedBy>PMDE</cp:lastModifiedBy>
  <cp:revision>2</cp:revision>
  <cp:lastPrinted>2018-06-18T13:20:00Z</cp:lastPrinted>
  <dcterms:created xsi:type="dcterms:W3CDTF">2018-06-18T13:30:00Z</dcterms:created>
  <dcterms:modified xsi:type="dcterms:W3CDTF">2018-06-18T13:30:00Z</dcterms:modified>
</cp:coreProperties>
</file>